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C" w:rsidRPr="00027076" w:rsidRDefault="00747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>Mėlynosios vėliavos programa</w:t>
      </w:r>
    </w:p>
    <w:p w:rsidR="005159DC" w:rsidRPr="00027076" w:rsidRDefault="00747D52">
      <w:pPr>
        <w:tabs>
          <w:tab w:val="left" w:pos="9923"/>
        </w:tabs>
        <w:spacing w:after="0" w:line="240" w:lineRule="auto"/>
        <w:ind w:firstLine="851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Mėlynosios vėliavos programa yra savanoriška sertifikavimo sistema paplūdimiams ir prieplaukoms, pradėta įgyvendinti Prancūzijoje 1985 metais. Tarptautinė nevyriausybinė organizacija Aplinkosaugo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švietimo fondas (</w:t>
      </w:r>
      <w:r w:rsidRPr="002A2BA1">
        <w:rPr>
          <w:rFonts w:ascii="Times New Roman" w:hAnsi="Times New Roman" w:cs="Times New Roman"/>
          <w:i/>
          <w:sz w:val="24"/>
          <w:szCs w:val="24"/>
          <w:lang w:val="lt-LT"/>
        </w:rPr>
        <w:t>Foundation for Environmental Education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– FEE) 1987 metais Europos Komisijai pristatė Mėlynosios vėliavos programos koncepciją, kuri buvo patvirtinta kaip viena iš kelių Europos aplinkos 1987 metų veiklų. Visuomeninė gamtosaug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organizacija „Lietuvos žaliųjų judėjimas“ yra FEE nar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ir koordinuoja Mėlynosios vėliavos programą Lietuvoje. </w:t>
      </w:r>
    </w:p>
    <w:p w:rsidR="005159DC" w:rsidRPr="00027076" w:rsidRDefault="00747D52">
      <w:pPr>
        <w:tabs>
          <w:tab w:val="left" w:pos="9923"/>
        </w:tabs>
        <w:spacing w:after="0" w:line="240" w:lineRule="auto"/>
        <w:ind w:firstLine="851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Mėlynosios vėliavos programo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je nustatytomis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aplinkosaugo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švietimo ir informavimo, vandens kokybės, aplinkosaugo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valdymo, saugumo ir paslaugų 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priemonėmis, taikomomis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pakrantės zonose</w:t>
      </w:r>
      <w:r w:rsidR="0002707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siekiama įgyvendinti darnaus vystymosi principus. Mėlynosios vėliavos 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programa kasmet</w:t>
      </w:r>
      <w:r w:rsidR="00BA2A6F"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populiarėj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bei tapo plačiai žinomu ir atpažįstamu aplinkosaug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ženklu 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 xml:space="preserve">tarp 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turistų ir kelionių 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organizatorių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159DC" w:rsidRPr="00027076" w:rsidRDefault="00747D52">
      <w:pPr>
        <w:tabs>
          <w:tab w:val="left" w:pos="9923"/>
        </w:tabs>
        <w:spacing w:after="0" w:line="240" w:lineRule="auto"/>
        <w:ind w:firstLine="851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Siekdam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Mėlynosios vėliavos apdovanojimo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savivaldybė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ir paplūdimius prižiūrinčios institucijos turi įgyvendinti visus privalomus kriterijus. Mėlynosios vėliavos apdovanojimas paplūdimiams yra paremtas 33 kriterijų, kurių dauguma yra privalomi,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 xml:space="preserve"> o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keletas rekomendacinio pobūdžio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A2A6F" w:rsidRPr="00BA2A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2A6F" w:rsidRPr="00027076">
        <w:rPr>
          <w:rFonts w:ascii="Times New Roman" w:hAnsi="Times New Roman" w:cs="Times New Roman"/>
          <w:sz w:val="24"/>
          <w:szCs w:val="24"/>
          <w:lang w:val="lt-LT"/>
        </w:rPr>
        <w:t>sąrašu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159DC" w:rsidRPr="00027076" w:rsidRDefault="00747D52">
      <w:pPr>
        <w:tabs>
          <w:tab w:val="left" w:pos="9923"/>
        </w:tabs>
        <w:spacing w:after="0" w:line="240" w:lineRule="auto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Aplinkosaugo</w:t>
      </w:r>
      <w:r w:rsidR="00BA2A6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švietimo fondo nustatyti reikalavimai paplūdimiams skirstomi į keturias grupes:</w:t>
      </w:r>
    </w:p>
    <w:p w:rsidR="005159DC" w:rsidRPr="00027076" w:rsidRDefault="00BA2A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>plinkosaugo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švietimo ir informavimo;</w:t>
      </w:r>
    </w:p>
    <w:p w:rsidR="005159DC" w:rsidRPr="00027076" w:rsidRDefault="00BA2A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>andens kokybės;</w:t>
      </w:r>
    </w:p>
    <w:p w:rsidR="005159DC" w:rsidRPr="00027076" w:rsidRDefault="00BA2A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>plinkosaugo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valdymo;</w:t>
      </w:r>
    </w:p>
    <w:p w:rsidR="005159DC" w:rsidRPr="00027076" w:rsidRDefault="00BA2A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>aslaugų ir saug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47D52" w:rsidRPr="00027076">
        <w:rPr>
          <w:rFonts w:ascii="Times New Roman" w:hAnsi="Times New Roman" w:cs="Times New Roman"/>
          <w:sz w:val="24"/>
          <w:szCs w:val="24"/>
          <w:lang w:val="lt-LT"/>
        </w:rPr>
        <w:t>mo.</w:t>
      </w:r>
    </w:p>
    <w:p w:rsidR="00747D52" w:rsidRDefault="0074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59DC" w:rsidRPr="00027076" w:rsidRDefault="00747D52">
      <w:pPr>
        <w:spacing w:after="0" w:line="240" w:lineRule="auto"/>
        <w:jc w:val="both"/>
        <w:rPr>
          <w:lang w:val="lt-LT"/>
        </w:rPr>
      </w:pPr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>Aplinkosaugo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švietimo ir informavimo kriterijai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159DC" w:rsidRPr="00027076" w:rsidRDefault="00747D52">
      <w:pPr>
        <w:spacing w:after="0" w:line="240" w:lineRule="auto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Paplūdimio informaciniame stende turi būti pateikiama informacija apie:</w:t>
      </w:r>
    </w:p>
    <w:p w:rsidR="005159DC" w:rsidRPr="00027076" w:rsidRDefault="0074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- pakrantės zonos ekosistemas ir pakrantės zonoje esančias gamtiškai jautrias teritorijas;</w:t>
      </w:r>
    </w:p>
    <w:p w:rsidR="005159DC" w:rsidRPr="00027076" w:rsidRDefault="0074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- informacija apie paplūdimio maudyklos vandens kokybę;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informacija apie Mėlynosios vėliavos programą;</w:t>
      </w:r>
    </w:p>
    <w:p w:rsidR="005159DC" w:rsidRPr="00747D52" w:rsidRDefault="00747D52" w:rsidP="002A2BA1">
      <w:pPr>
        <w:tabs>
          <w:tab w:val="left" w:pos="142"/>
        </w:tabs>
        <w:spacing w:after="0" w:line="240" w:lineRule="auto"/>
        <w:jc w:val="both"/>
        <w:rPr>
          <w:lang w:val="lt-LT"/>
        </w:rPr>
      </w:pPr>
      <w:r w:rsidRPr="002A2BA1">
        <w:rPr>
          <w:rFonts w:ascii="Times New Roman" w:hAnsi="Times New Roman" w:cs="Times New Roman"/>
          <w:sz w:val="24"/>
          <w:szCs w:val="24"/>
          <w:lang w:val="lt-LT"/>
        </w:rPr>
        <w:t>- elgesio paplūdimyje taisyklės;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informacija apie aplinkosaugo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švietimo veiklas;</w:t>
      </w:r>
    </w:p>
    <w:p w:rsidR="005159DC" w:rsidRDefault="00747D52" w:rsidP="002A2BA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A2BA1">
        <w:rPr>
          <w:rFonts w:ascii="Times New Roman" w:hAnsi="Times New Roman" w:cs="Times New Roman"/>
          <w:sz w:val="24"/>
          <w:szCs w:val="24"/>
          <w:lang w:val="lt-LT"/>
        </w:rPr>
        <w:t>- paplūdimio zonos žemėlapis, kuriame pažymėti atitinkami paplūdimyje esantys objektai.</w:t>
      </w:r>
    </w:p>
    <w:p w:rsidR="00747D52" w:rsidRPr="00747D52" w:rsidRDefault="00747D52" w:rsidP="002A2BA1">
      <w:pPr>
        <w:tabs>
          <w:tab w:val="left" w:pos="142"/>
        </w:tabs>
        <w:spacing w:after="0" w:line="240" w:lineRule="auto"/>
        <w:jc w:val="both"/>
        <w:rPr>
          <w:lang w:val="lt-LT"/>
        </w:rPr>
      </w:pPr>
    </w:p>
    <w:p w:rsidR="005159DC" w:rsidRPr="00027076" w:rsidRDefault="00747D5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>Vandens kokybės kriterijai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privalo būti bent vienas vandens mėginių ėmimo taškas, o ištirta maudyklos vandens kokybė privalo atitikti nustatytus standartus;</w:t>
      </w:r>
    </w:p>
    <w:p w:rsidR="005159DC" w:rsidRPr="002A2BA1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ramoninės ar buitinės nuotekos negali pakenkti paplūdimio zonai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7D52" w:rsidRPr="00027076" w:rsidRDefault="00747D52" w:rsidP="002A2BA1">
      <w:pPr>
        <w:pStyle w:val="ListParagraph"/>
        <w:tabs>
          <w:tab w:val="left" w:pos="142"/>
        </w:tabs>
        <w:spacing w:after="0" w:line="240" w:lineRule="auto"/>
        <w:jc w:val="both"/>
        <w:rPr>
          <w:lang w:val="lt-LT"/>
        </w:rPr>
      </w:pPr>
    </w:p>
    <w:p w:rsidR="005159DC" w:rsidRPr="00027076" w:rsidRDefault="00747D5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>Aplinkosaugo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valdymo kriterijai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ietos savivalda turi įsteigti paplūdimio aplinkosaugo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valdymo komitetą;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(pakrantės zonoje) vykdoma veikla privalo atitikti teisės aktus;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administruojant gamtiškai jautrią teritoriją</w:t>
      </w:r>
      <w:r w:rsidRPr="00747D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turi būti taikomos</w:t>
      </w:r>
      <w:r w:rsidRPr="00747D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titinkamos priemonės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aplūdimys turi būti švarus;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umbliai turi būti paliekami pakrantėje suirti (kol nesukelia nepatogumų)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uri būti pakankamai tinkamai įrengtų ir prižiūrimų šiukšliadėžių/konteinerių;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poilsiautojams turi būti sudarytos galimybės rūšiuoti atliekas;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turi būti įrengti sanitariniu požiūriu tinkami tualetai;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neleidžiamas nesankcionuotas stovyklavimas, transporto priemonių eismas, sąvartynai;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turi būti griežtai kontroliuojamas šunų ir kitų naminių gyvūnų vedžiojimas;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v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isi pastatai ir įrenginiai, esantys paplūdimio zonoje, turi būti tinkamai tvarkomi ir prižiūrimi;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aplūdimio zonoje turi būti skatinamas ekologiškai švarių transporto priemonių naudojimas.</w:t>
      </w:r>
    </w:p>
    <w:p w:rsidR="005159DC" w:rsidRPr="00027076" w:rsidRDefault="005159DC">
      <w:pPr>
        <w:pStyle w:val="ListParagraph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747D52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b/>
          <w:sz w:val="24"/>
          <w:szCs w:val="24"/>
          <w:lang w:val="lt-LT"/>
        </w:rPr>
        <w:t>Saugumo ir paslaugų kriterijai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ezono metu paplūdimiai turi būti prižiūrimi tinkamą kvalifikaciją turinčių gelbėtojų ir/arba numatytos gelbėjimo priemonės su aiškiomis naudojimosi instrukcijomis;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turi būti pirmosios pagalbos priemonės;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iekiant išvengti konfliktinių situacijų, paplūdimiai turi būti tinkamai ženklinami;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uri būti sudarytas avarinių situacijų planas taršos atvejams likviduoti;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aplūdimyje </w:t>
      </w: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uri būti taikomos atitinkamos saugumo priemonės;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aplūdimyje turi būti įrengti geriamojo vandens šaltiniai;</w:t>
      </w:r>
    </w:p>
    <w:p w:rsidR="005159DC" w:rsidRPr="00027076" w:rsidRDefault="00747D52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ent viename savivaldybė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ėlynąja vėliava apdovanotame paplūdimyje turi būti įrengtas žmonėms su negalia pritaikytas takas bei tualetas.</w:t>
      </w:r>
    </w:p>
    <w:p w:rsidR="005159DC" w:rsidRPr="00027076" w:rsidRDefault="00747D52">
      <w:pPr>
        <w:tabs>
          <w:tab w:val="left" w:pos="142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5159DC" w:rsidRDefault="00747D52">
      <w:pPr>
        <w:tabs>
          <w:tab w:val="left" w:pos="142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Lietuvos žaliųjų judėjimo bei Aplinkosaugo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švietimo fondo įgalioti asmenys tikrina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ar paplūdimys sezono metu atitinka keliamus reikalavimus. Mėlynoji vėliava turi būti nuleidžiama, jei aptinkama trūkumų. Pakelti ją leidžiama tik tada, kai visi trūkumai pašalinami. Mėlynosios vėliavos apdovanojimas suteikiamas vienam sezonui.</w:t>
      </w:r>
    </w:p>
    <w:p w:rsidR="00747D52" w:rsidRPr="00027076" w:rsidRDefault="00747D52">
      <w:pPr>
        <w:tabs>
          <w:tab w:val="left" w:pos="142"/>
          <w:tab w:val="left" w:pos="9923"/>
        </w:tabs>
        <w:spacing w:after="0" w:line="240" w:lineRule="auto"/>
        <w:ind w:firstLine="426"/>
        <w:jc w:val="both"/>
        <w:rPr>
          <w:lang w:val="lt-LT"/>
        </w:rPr>
      </w:pPr>
    </w:p>
    <w:p w:rsidR="005159DC" w:rsidRPr="00027076" w:rsidRDefault="00747D52">
      <w:pPr>
        <w:tabs>
          <w:tab w:val="left" w:pos="142"/>
          <w:tab w:val="left" w:pos="9923"/>
        </w:tabs>
        <w:spacing w:after="0" w:line="240" w:lineRule="auto"/>
        <w:ind w:firstLine="426"/>
        <w:jc w:val="both"/>
        <w:rPr>
          <w:lang w:val="lt-LT"/>
        </w:rPr>
      </w:pPr>
      <w:r w:rsidRPr="00027076">
        <w:rPr>
          <w:rFonts w:ascii="Times New Roman" w:hAnsi="Times New Roman" w:cs="Times New Roman"/>
          <w:sz w:val="24"/>
          <w:szCs w:val="24"/>
          <w:lang w:val="lt-LT"/>
        </w:rPr>
        <w:t>Daugiau informacijos apie Mėlynosios vėliavos programą, kontrolės ir priežiūros procedūras jums gali suteikti Mėlynosios vėliavos koordinatorius Lietuvoje el.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>pašt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6">
        <w:r w:rsidRPr="00027076">
          <w:rPr>
            <w:rStyle w:val="InternetLink"/>
            <w:rFonts w:ascii="Times New Roman" w:hAnsi="Times New Roman" w:cs="Times New Roman"/>
            <w:sz w:val="24"/>
            <w:szCs w:val="24"/>
            <w:lang w:val="lt-LT"/>
          </w:rPr>
          <w:t>blueflag@zalieji.lt</w:t>
        </w:r>
      </w:hyperlink>
      <w:r w:rsidRPr="0002707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br/>
        <w:t>Mėlynosios vėliavos programos internet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027076">
        <w:rPr>
          <w:rFonts w:ascii="Times New Roman" w:hAnsi="Times New Roman" w:cs="Times New Roman"/>
          <w:sz w:val="24"/>
          <w:szCs w:val="24"/>
          <w:lang w:val="lt-LT"/>
        </w:rPr>
        <w:t xml:space="preserve"> svetainė </w:t>
      </w:r>
      <w:hyperlink r:id="rId7">
        <w:r w:rsidRPr="00027076">
          <w:rPr>
            <w:rStyle w:val="InternetLink"/>
            <w:rFonts w:ascii="Times New Roman" w:hAnsi="Times New Roman" w:cs="Times New Roman"/>
            <w:sz w:val="24"/>
            <w:szCs w:val="24"/>
            <w:lang w:val="lt-LT"/>
          </w:rPr>
          <w:t>www.melynojiveliava.lt</w:t>
        </w:r>
      </w:hyperlink>
      <w:r>
        <w:rPr>
          <w:rStyle w:val="InternetLink"/>
          <w:rFonts w:ascii="Times New Roman" w:hAnsi="Times New Roman" w:cs="Times New Roman"/>
          <w:sz w:val="24"/>
          <w:szCs w:val="24"/>
          <w:lang w:val="lt-LT"/>
        </w:rPr>
        <w:t>.</w:t>
      </w:r>
    </w:p>
    <w:p w:rsidR="005159DC" w:rsidRPr="00027076" w:rsidRDefault="005159DC">
      <w:pPr>
        <w:tabs>
          <w:tab w:val="left" w:pos="142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tabs>
          <w:tab w:val="left" w:pos="142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tabs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tabs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tabs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9DC" w:rsidRPr="00027076" w:rsidRDefault="005159DC">
      <w:pPr>
        <w:spacing w:line="240" w:lineRule="auto"/>
        <w:jc w:val="both"/>
        <w:rPr>
          <w:lang w:val="lt-LT"/>
        </w:rPr>
      </w:pPr>
    </w:p>
    <w:sectPr w:rsidR="005159DC" w:rsidRPr="00027076">
      <w:pgSz w:w="12240" w:h="15840"/>
      <w:pgMar w:top="1134" w:right="567" w:bottom="113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30E"/>
    <w:multiLevelType w:val="multilevel"/>
    <w:tmpl w:val="85C0A6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6A0F05"/>
    <w:multiLevelType w:val="multilevel"/>
    <w:tmpl w:val="D81EA0EE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2C716AE"/>
    <w:multiLevelType w:val="multilevel"/>
    <w:tmpl w:val="95964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trackRevisions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C"/>
    <w:rsid w:val="00027076"/>
    <w:rsid w:val="002A2BA1"/>
    <w:rsid w:val="005159DC"/>
    <w:rsid w:val="00590CB5"/>
    <w:rsid w:val="00747D52"/>
    <w:rsid w:val="0080651D"/>
    <w:rsid w:val="009A511E"/>
    <w:rsid w:val="00BA2A6F"/>
    <w:rsid w:val="00D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570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C14E7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ListParagraph">
    <w:name w:val="List Paragraph"/>
    <w:basedOn w:val="Normal"/>
    <w:uiPriority w:val="34"/>
    <w:qFormat/>
    <w:rsid w:val="00BE5E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C14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570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C14E7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ListParagraph">
    <w:name w:val="List Paragraph"/>
    <w:basedOn w:val="Normal"/>
    <w:uiPriority w:val="34"/>
    <w:qFormat/>
    <w:rsid w:val="00BE5E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C14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lynojiveliav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eflag@zaliej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Gražvydė</dc:creator>
  <cp:lastModifiedBy>D2</cp:lastModifiedBy>
  <cp:revision>2</cp:revision>
  <dcterms:created xsi:type="dcterms:W3CDTF">2016-03-29T08:43:00Z</dcterms:created>
  <dcterms:modified xsi:type="dcterms:W3CDTF">2016-03-29T08:43:00Z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